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站群子站栏目管理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每个站点的管理员，都可以管理自己的栏目；栏目管理是网站运行中，做重要的功能和工作</w:t>
      </w:r>
    </w:p>
    <w:p>
      <w:pPr>
        <w:numPr>
          <w:ilvl w:val="0"/>
          <w:numId w:val="0"/>
        </w:num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B：</w:t>
      </w:r>
      <w:r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  <w:t>后台站群进入方法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超级管理员在系统后台，点击“站群系统”按钮！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drawing>
          <wp:inline distT="0" distB="0" distL="114300" distR="114300">
            <wp:extent cx="6581775" cy="2000250"/>
            <wp:effectExtent l="0" t="0" r="9525" b="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C、确认是自己所需的站点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如果超级管理员，是管理所有站点，就需要确认是不是自己现在所需站点；站点可以切换！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0830" cy="18097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栏目管理入口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进入子站站群后台-----点击栏目管理-----栏目管理的下拉菜单可以仔细看看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3370" cy="3379470"/>
            <wp:effectExtent l="0" t="0" r="5080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栏目管理的字段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A：栏目的模型属性、类型属性、属于哪个子站、是否可以静态化；都可以看到。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7655" cy="3535045"/>
            <wp:effectExtent l="0" t="0" r="10795" b="825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栏目展开按钮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点击顶部的加号（全部展开栏目）-----点击减号（收缩栏目）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0195" cy="2872105"/>
            <wp:effectExtent l="0" t="0" r="8255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五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栏目的预览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A：第一个“预览”按钮：表示动态页面浏览。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B：第二个“预览”按钮：表示带二级域名动态页面浏览。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C：第三个“浏览”按钮：表示带二级域名静态页浏览。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D：中间的快捷动态和静态预览按钮，很常用！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default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E：栏目ID：栏目的格式是一样，只需要知道栏目ID，就会自动栏目链接。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3370" cy="2959735"/>
            <wp:effectExtent l="0" t="0" r="5080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六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栏目的排序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A：数字大的排在前面，数字小的排在后面。同级与同级排序，子栏目与自己内部排序。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9560" cy="3467735"/>
            <wp:effectExtent l="0" t="0" r="8890" b="184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color w:val="0000FF"/>
          <w:lang w:eastAsia="zh-CN"/>
        </w:rPr>
      </w:pPr>
      <w:r>
        <w:rPr>
          <w:rFonts w:hint="eastAsia"/>
          <w:color w:val="0000FF"/>
          <w:lang w:eastAsia="zh-CN"/>
        </w:rPr>
        <w:t>输入数字后，点击底部的“修改栏目排序”：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9560" cy="1811020"/>
            <wp:effectExtent l="0" t="0" r="889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七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栏目全选按钮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A：点击此处勾选，就是全选所有栏目，然后点击可以下面的功能（比如静态操作）。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0830" cy="3383280"/>
            <wp:effectExtent l="0" t="0" r="7620" b="762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八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栏目的底部操作预览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A：底部的静态化按钮、栏目批量删除按钮、添加栏目按钮、重置内容统计按钮。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45275" cy="1191260"/>
            <wp:effectExtent l="0" t="0" r="3175" b="889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九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栏目的“发布内容”和“编辑栏目”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A：发布内容：点击此处发布内容，会自动选取此栏目，不用再选栏目了。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B：编辑栏目：需要修改此栏目，点击此处（栏目模板、内容条数修改等）。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default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C：加子栏目：直接在本栏目后，可以加子栏目。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38925" cy="3679190"/>
            <wp:effectExtent l="0" t="0" r="952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十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栏目的“合并”和“克隆”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A：合并栏目：将本栏目的内容合并到其他栏目（但是栏目还存在，不需要可以删除）。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B：克隆栏目：复制一个一模一样的类别（包括子栏目、模板设置都一致）。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Style w:val="5"/>
          <w:rFonts w:hint="default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C：删除：点击删除栏目后，会进入到回收站，可以恢复栏目</w:t>
      </w:r>
      <w:bookmarkStart w:id="0" w:name="_GoBack"/>
      <w:bookmarkEnd w:id="0"/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857875" cy="3810000"/>
            <wp:effectExtent l="0" t="0" r="952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DE00B8"/>
    <w:rsid w:val="00FE70C3"/>
    <w:rsid w:val="010C7820"/>
    <w:rsid w:val="013609FE"/>
    <w:rsid w:val="01381EAD"/>
    <w:rsid w:val="0172061B"/>
    <w:rsid w:val="019120BD"/>
    <w:rsid w:val="01FA600F"/>
    <w:rsid w:val="02E97FF2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8A778C"/>
    <w:rsid w:val="18AF39E7"/>
    <w:rsid w:val="18C153D4"/>
    <w:rsid w:val="18D710D0"/>
    <w:rsid w:val="18EF6949"/>
    <w:rsid w:val="1C254B9E"/>
    <w:rsid w:val="1C7F1E88"/>
    <w:rsid w:val="1CC97F59"/>
    <w:rsid w:val="1EEF1DF4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52F0D7E"/>
    <w:rsid w:val="262D1439"/>
    <w:rsid w:val="26530D04"/>
    <w:rsid w:val="279A320C"/>
    <w:rsid w:val="28732AAF"/>
    <w:rsid w:val="28801E2F"/>
    <w:rsid w:val="2909117E"/>
    <w:rsid w:val="292D7F3F"/>
    <w:rsid w:val="29B14FCC"/>
    <w:rsid w:val="29DB2148"/>
    <w:rsid w:val="2A531CC0"/>
    <w:rsid w:val="2AA61161"/>
    <w:rsid w:val="2B616ABE"/>
    <w:rsid w:val="2B7F5910"/>
    <w:rsid w:val="2BCE2E0A"/>
    <w:rsid w:val="2BEA20B7"/>
    <w:rsid w:val="2D015375"/>
    <w:rsid w:val="2D18159A"/>
    <w:rsid w:val="2D5555F5"/>
    <w:rsid w:val="2FA02276"/>
    <w:rsid w:val="30070D7F"/>
    <w:rsid w:val="311D0369"/>
    <w:rsid w:val="316046E1"/>
    <w:rsid w:val="328613D7"/>
    <w:rsid w:val="32C93F3C"/>
    <w:rsid w:val="32E24C4E"/>
    <w:rsid w:val="345947CD"/>
    <w:rsid w:val="350E5269"/>
    <w:rsid w:val="3520144B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AA47F7"/>
    <w:rsid w:val="48C148F8"/>
    <w:rsid w:val="492A1B06"/>
    <w:rsid w:val="49E64D31"/>
    <w:rsid w:val="49F51314"/>
    <w:rsid w:val="4A8C68D2"/>
    <w:rsid w:val="4C775CD8"/>
    <w:rsid w:val="4CDB337E"/>
    <w:rsid w:val="4D0643DA"/>
    <w:rsid w:val="4D155C02"/>
    <w:rsid w:val="4E582B36"/>
    <w:rsid w:val="4E72439C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3AF0EB7"/>
    <w:rsid w:val="544D3B96"/>
    <w:rsid w:val="54D35155"/>
    <w:rsid w:val="5557045E"/>
    <w:rsid w:val="559752B3"/>
    <w:rsid w:val="56000FE7"/>
    <w:rsid w:val="562F654C"/>
    <w:rsid w:val="56924E7C"/>
    <w:rsid w:val="57177347"/>
    <w:rsid w:val="576D74B7"/>
    <w:rsid w:val="59EF111B"/>
    <w:rsid w:val="5A4519CE"/>
    <w:rsid w:val="5A7F19F4"/>
    <w:rsid w:val="5C146879"/>
    <w:rsid w:val="5D1F4C52"/>
    <w:rsid w:val="5D533EB3"/>
    <w:rsid w:val="5D91715B"/>
    <w:rsid w:val="5DEB619F"/>
    <w:rsid w:val="5E2A490A"/>
    <w:rsid w:val="5F3006ED"/>
    <w:rsid w:val="600712AE"/>
    <w:rsid w:val="60280E09"/>
    <w:rsid w:val="60C36642"/>
    <w:rsid w:val="60ED425C"/>
    <w:rsid w:val="6108311F"/>
    <w:rsid w:val="631266A1"/>
    <w:rsid w:val="63B76E36"/>
    <w:rsid w:val="63D87E37"/>
    <w:rsid w:val="640277BE"/>
    <w:rsid w:val="6405041D"/>
    <w:rsid w:val="6541544D"/>
    <w:rsid w:val="65A13853"/>
    <w:rsid w:val="666D37A1"/>
    <w:rsid w:val="68A35457"/>
    <w:rsid w:val="68B76AE1"/>
    <w:rsid w:val="68F12377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8201E"/>
    <w:rsid w:val="744F429E"/>
    <w:rsid w:val="747E4177"/>
    <w:rsid w:val="74877973"/>
    <w:rsid w:val="75D25B11"/>
    <w:rsid w:val="76887387"/>
    <w:rsid w:val="7742264B"/>
    <w:rsid w:val="789F4A3D"/>
    <w:rsid w:val="7A34516B"/>
    <w:rsid w:val="7A3F161B"/>
    <w:rsid w:val="7C21437B"/>
    <w:rsid w:val="7CDC2CF6"/>
    <w:rsid w:val="7D0E58AB"/>
    <w:rsid w:val="7D3C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2019-11-11T04:06:38Z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